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D5932F" w14:textId="025E50BF" w:rsidR="00F633AE" w:rsidRDefault="007C65D4">
      <w:pPr>
        <w:shd w:val="clear" w:color="auto" w:fill="C0C0C0"/>
        <w:tabs>
          <w:tab w:val="left" w:pos="3960"/>
        </w:tabs>
        <w:spacing w:after="0" w:line="240" w:lineRule="auto"/>
        <w:jc w:val="both"/>
        <w:rPr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  <w:t xml:space="preserve">Communiqué de presse </w:t>
      </w:r>
      <w:r w:rsidR="001D7831" w:rsidRPr="003918DD">
        <w:rPr>
          <w:rFonts w:ascii="Webdings" w:eastAsia="Webdings" w:hAnsi="Webdings" w:cs="Webdings"/>
          <w:b/>
          <w:color w:val="FFFFFF"/>
          <w:sz w:val="24"/>
          <w:lang w:eastAsia="ar-SA"/>
        </w:rPr>
        <w:sym w:font="Webdings" w:char="F03C"/>
      </w:r>
      <w:r>
        <w:rPr>
          <w:b/>
          <w:color w:val="FFFFFF"/>
          <w:sz w:val="24"/>
          <w:szCs w:val="24"/>
        </w:rPr>
        <w:t xml:space="preserve"> Bordeaux, le </w:t>
      </w:r>
      <w:r w:rsidR="00BE6E3D">
        <w:rPr>
          <w:b/>
          <w:color w:val="FFFFFF"/>
          <w:sz w:val="24"/>
          <w:szCs w:val="24"/>
        </w:rPr>
        <w:t xml:space="preserve">03 </w:t>
      </w:r>
      <w:r w:rsidR="00D10368">
        <w:rPr>
          <w:b/>
          <w:color w:val="FFFFFF"/>
          <w:sz w:val="24"/>
          <w:szCs w:val="24"/>
        </w:rPr>
        <w:t xml:space="preserve">novembre </w:t>
      </w:r>
      <w:r>
        <w:rPr>
          <w:b/>
          <w:color w:val="FFFFFF"/>
          <w:sz w:val="24"/>
          <w:szCs w:val="24"/>
        </w:rPr>
        <w:t>2020</w:t>
      </w:r>
    </w:p>
    <w:p w14:paraId="247C2C4C" w14:textId="77777777" w:rsidR="00F633AE" w:rsidRDefault="007C65D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144CA44" wp14:editId="67104F51">
            <wp:simplePos x="0" y="0"/>
            <wp:positionH relativeFrom="column">
              <wp:posOffset>5391150</wp:posOffset>
            </wp:positionH>
            <wp:positionV relativeFrom="paragraph">
              <wp:posOffset>123190</wp:posOffset>
            </wp:positionV>
            <wp:extent cx="307340" cy="307340"/>
            <wp:effectExtent l="0" t="0" r="0" b="0"/>
            <wp:wrapSquare wrapText="bothSides" distT="0" distB="0" distL="114300" distR="114300"/>
            <wp:docPr id="2" name="image2.png" descr="\\192.168.250.1\users\REPERTOIRES-PRIV\ABorderes\Anne BORDERES PRIV\DOSSIER COMMUNICATION\COM_FI\LOGO PEA PME\EU-16159_PEA-PME label_spring green_9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\\192.168.250.1\users\REPERTOIRES-PRIV\ABorderes\Anne BORDERES PRIV\DOSSIER COMMUNICATION\COM_FI\LOGO PEA PME\EU-16159_PEA-PME label_spring green_96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hidden="0" allowOverlap="1" wp14:anchorId="77BFD49A" wp14:editId="154C13A8">
            <wp:simplePos x="0" y="0"/>
            <wp:positionH relativeFrom="column">
              <wp:posOffset>5800847</wp:posOffset>
            </wp:positionH>
            <wp:positionV relativeFrom="paragraph">
              <wp:posOffset>100965</wp:posOffset>
            </wp:positionV>
            <wp:extent cx="351155" cy="351155"/>
            <wp:effectExtent l="0" t="0" r="0" b="0"/>
            <wp:wrapSquare wrapText="bothSides" distT="0" distB="0" distL="114300" distR="114300"/>
            <wp:docPr id="3" name="image3.png" descr="EUROPLASMA_ALEUP_emblem_small_color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EUROPLASMA_ALEUP_emblem_small_color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51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BC1841" w14:textId="77777777" w:rsidR="00F633AE" w:rsidRDefault="00F633AE">
      <w:pPr>
        <w:spacing w:after="0"/>
        <w:jc w:val="both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</w:p>
    <w:p w14:paraId="2CFB5BBE" w14:textId="77777777" w:rsidR="00F633AE" w:rsidRDefault="00F633AE">
      <w:pPr>
        <w:spacing w:after="0"/>
        <w:jc w:val="both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</w:p>
    <w:p w14:paraId="61766905" w14:textId="6F857D3D" w:rsidR="00F633AE" w:rsidRPr="001D7831" w:rsidRDefault="00D10368" w:rsidP="001D7831">
      <w:pPr>
        <w:tabs>
          <w:tab w:val="left" w:pos="5738"/>
        </w:tabs>
        <w:spacing w:after="0"/>
        <w:ind w:right="-85"/>
        <w:jc w:val="center"/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403F8B">
        <w:rPr>
          <w:rFonts w:asciiTheme="majorHAnsi" w:eastAsia="Quattrocento Sans" w:hAnsiTheme="majorHAnsi" w:cstheme="majorHAnsi"/>
          <w:b/>
          <w:bCs/>
          <w:color w:val="000000"/>
          <w:sz w:val="32"/>
          <w:szCs w:val="32"/>
        </w:rPr>
        <w:t xml:space="preserve">TIRAGE DE LA </w:t>
      </w:r>
      <w:r>
        <w:rPr>
          <w:rFonts w:asciiTheme="majorHAnsi" w:eastAsia="Quattrocento Sans" w:hAnsiTheme="majorHAnsi" w:cstheme="majorHAnsi"/>
          <w:b/>
          <w:bCs/>
          <w:color w:val="000000"/>
          <w:sz w:val="32"/>
          <w:szCs w:val="32"/>
        </w:rPr>
        <w:t>DOUZIÈME</w:t>
      </w:r>
      <w:r w:rsidRPr="00403F8B">
        <w:rPr>
          <w:rFonts w:asciiTheme="majorHAnsi" w:eastAsia="Quattrocento Sans" w:hAnsiTheme="majorHAnsi" w:cstheme="majorHAnsi"/>
          <w:b/>
          <w:bCs/>
          <w:color w:val="000000"/>
          <w:sz w:val="32"/>
          <w:szCs w:val="32"/>
        </w:rPr>
        <w:t xml:space="preserve"> TRANCHE DE 200 OBLIGATIONS CONVERTIBLES EN ACTIONS</w:t>
      </w:r>
    </w:p>
    <w:p w14:paraId="0034BA5F" w14:textId="77777777" w:rsidR="00403F8B" w:rsidRDefault="00403F8B">
      <w:pPr>
        <w:ind w:right="-85"/>
        <w:jc w:val="both"/>
        <w:rPr>
          <w:color w:val="000000"/>
          <w:sz w:val="20"/>
          <w:szCs w:val="20"/>
        </w:rPr>
      </w:pPr>
    </w:p>
    <w:p w14:paraId="28674F2B" w14:textId="15C24D17" w:rsidR="00403F8B" w:rsidRDefault="00403F8B" w:rsidP="00DF179A">
      <w:pPr>
        <w:spacing w:after="0"/>
        <w:ind w:right="-85"/>
        <w:jc w:val="both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403F8B">
        <w:rPr>
          <w:rFonts w:asciiTheme="majorHAnsi" w:hAnsiTheme="majorHAnsi" w:cstheme="majorHAnsi"/>
          <w:bCs/>
          <w:color w:val="000000"/>
          <w:sz w:val="20"/>
          <w:szCs w:val="20"/>
        </w:rPr>
        <w:t>Dans le cadre du contrat d'émission de bons d'émission d'obligations convertibles en actions nouvelles avec bons de souscription d'actions attachés le cas échéant</w:t>
      </w:r>
      <w:r w:rsidR="00A1479C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(« </w:t>
      </w:r>
      <w:r w:rsidR="00A1479C" w:rsidRPr="00645C5B">
        <w:rPr>
          <w:rFonts w:asciiTheme="majorHAnsi" w:hAnsiTheme="majorHAnsi" w:cstheme="majorHAnsi"/>
          <w:b/>
          <w:bCs/>
          <w:color w:val="000000"/>
          <w:sz w:val="20"/>
          <w:szCs w:val="20"/>
        </w:rPr>
        <w:t>OCABSA</w:t>
      </w:r>
      <w:r w:rsidR="00A1479C">
        <w:rPr>
          <w:rFonts w:asciiTheme="majorHAnsi" w:hAnsiTheme="majorHAnsi" w:cstheme="majorHAnsi"/>
          <w:bCs/>
          <w:color w:val="000000"/>
          <w:sz w:val="20"/>
          <w:szCs w:val="20"/>
        </w:rPr>
        <w:t> »)</w:t>
      </w:r>
      <w:r w:rsidR="002F10C9">
        <w:rPr>
          <w:rFonts w:asciiTheme="majorHAnsi" w:hAnsiTheme="majorHAnsi" w:cstheme="majorHAnsi"/>
          <w:bCs/>
          <w:color w:val="000000"/>
          <w:sz w:val="20"/>
          <w:szCs w:val="20"/>
        </w:rPr>
        <w:t>,</w:t>
      </w:r>
      <w:r w:rsidRPr="00403F8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conclu entre Europlasma S.A et </w:t>
      </w:r>
      <w:proofErr w:type="spellStart"/>
      <w:r w:rsidRPr="00403F8B">
        <w:rPr>
          <w:rFonts w:asciiTheme="majorHAnsi" w:hAnsiTheme="majorHAnsi" w:cstheme="majorHAnsi"/>
          <w:bCs/>
          <w:color w:val="000000"/>
          <w:sz w:val="20"/>
          <w:szCs w:val="20"/>
        </w:rPr>
        <w:t>European</w:t>
      </w:r>
      <w:proofErr w:type="spellEnd"/>
      <w:r w:rsidRPr="00403F8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High </w:t>
      </w:r>
      <w:proofErr w:type="spellStart"/>
      <w:r w:rsidRPr="00403F8B">
        <w:rPr>
          <w:rFonts w:asciiTheme="majorHAnsi" w:hAnsiTheme="majorHAnsi" w:cstheme="majorHAnsi"/>
          <w:bCs/>
          <w:color w:val="000000"/>
          <w:sz w:val="20"/>
          <w:szCs w:val="20"/>
        </w:rPr>
        <w:t>Growth</w:t>
      </w:r>
      <w:proofErr w:type="spellEnd"/>
      <w:r w:rsidRPr="00403F8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proofErr w:type="spellStart"/>
      <w:r w:rsidRPr="00403F8B">
        <w:rPr>
          <w:rFonts w:asciiTheme="majorHAnsi" w:hAnsiTheme="majorHAnsi" w:cstheme="majorHAnsi"/>
          <w:bCs/>
          <w:color w:val="000000"/>
          <w:sz w:val="20"/>
          <w:szCs w:val="20"/>
        </w:rPr>
        <w:t>Opportunities</w:t>
      </w:r>
      <w:proofErr w:type="spellEnd"/>
      <w:r w:rsidRPr="00403F8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proofErr w:type="spellStart"/>
      <w:r w:rsidRPr="00403F8B">
        <w:rPr>
          <w:rFonts w:asciiTheme="majorHAnsi" w:hAnsiTheme="majorHAnsi" w:cstheme="majorHAnsi"/>
          <w:bCs/>
          <w:color w:val="000000"/>
          <w:sz w:val="20"/>
          <w:szCs w:val="20"/>
        </w:rPr>
        <w:t>Securitization</w:t>
      </w:r>
      <w:proofErr w:type="spellEnd"/>
      <w:r w:rsidRPr="00403F8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proofErr w:type="spellStart"/>
      <w:r w:rsidRPr="00403F8B">
        <w:rPr>
          <w:rFonts w:asciiTheme="majorHAnsi" w:hAnsiTheme="majorHAnsi" w:cstheme="majorHAnsi"/>
          <w:bCs/>
          <w:color w:val="000000"/>
          <w:sz w:val="20"/>
          <w:szCs w:val="20"/>
        </w:rPr>
        <w:t>Fund</w:t>
      </w:r>
      <w:proofErr w:type="spellEnd"/>
      <w:r w:rsidRPr="00403F8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4C5D83">
        <w:rPr>
          <w:rFonts w:asciiTheme="majorHAnsi" w:hAnsiTheme="majorHAnsi" w:cstheme="majorHAnsi"/>
          <w:bCs/>
          <w:color w:val="000000"/>
          <w:sz w:val="20"/>
          <w:szCs w:val="20"/>
        </w:rPr>
        <w:t>(« </w:t>
      </w:r>
      <w:r w:rsidR="004C5D83" w:rsidRPr="00645C5B">
        <w:rPr>
          <w:rFonts w:asciiTheme="majorHAnsi" w:hAnsiTheme="majorHAnsi" w:cstheme="majorHAnsi"/>
          <w:b/>
          <w:bCs/>
          <w:color w:val="000000"/>
          <w:sz w:val="20"/>
          <w:szCs w:val="20"/>
        </w:rPr>
        <w:t>EHGOSF </w:t>
      </w:r>
      <w:r w:rsidR="004C5D8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») </w:t>
      </w:r>
      <w:r w:rsidRPr="00403F8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en date du 24 juin 2019, la Société annonce qu’elle a procédé ce jour au tirage de la </w:t>
      </w:r>
      <w:r w:rsidR="00C3585A">
        <w:rPr>
          <w:rFonts w:asciiTheme="majorHAnsi" w:hAnsiTheme="majorHAnsi" w:cstheme="majorHAnsi"/>
          <w:bCs/>
          <w:color w:val="000000"/>
          <w:sz w:val="20"/>
          <w:szCs w:val="20"/>
        </w:rPr>
        <w:t>dou</w:t>
      </w:r>
      <w:r w:rsidR="005E0833">
        <w:rPr>
          <w:rFonts w:asciiTheme="majorHAnsi" w:hAnsiTheme="majorHAnsi" w:cstheme="majorHAnsi"/>
          <w:bCs/>
          <w:color w:val="000000"/>
          <w:sz w:val="20"/>
          <w:szCs w:val="20"/>
        </w:rPr>
        <w:t>zième</w:t>
      </w:r>
      <w:r w:rsidRPr="00403F8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tranche de 200 OCABSA pour un montant nominal de </w:t>
      </w:r>
      <w:r w:rsidR="000B092C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2.000.000 </w:t>
      </w:r>
      <w:r w:rsidRPr="00403F8B">
        <w:rPr>
          <w:rFonts w:asciiTheme="majorHAnsi" w:hAnsiTheme="majorHAnsi" w:cstheme="majorHAnsi"/>
          <w:bCs/>
          <w:color w:val="000000"/>
          <w:sz w:val="20"/>
          <w:szCs w:val="20"/>
        </w:rPr>
        <w:t>d’euros.</w:t>
      </w:r>
    </w:p>
    <w:p w14:paraId="555C5B26" w14:textId="47C34D2A" w:rsidR="00DF179A" w:rsidRPr="00645C5B" w:rsidRDefault="00DF179A" w:rsidP="00DF179A">
      <w:pPr>
        <w:spacing w:after="0"/>
        <w:ind w:right="-85"/>
        <w:jc w:val="both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4362FA60" w14:textId="05F03F4A" w:rsidR="00083B98" w:rsidRDefault="002F10C9" w:rsidP="00DF179A">
      <w:pPr>
        <w:spacing w:after="0"/>
        <w:ind w:right="-85"/>
        <w:jc w:val="both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2F10C9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Ce programme finance les investissements relatifs </w:t>
      </w:r>
      <w:r w:rsidR="0095710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au </w:t>
      </w:r>
      <w:r w:rsidR="00957103" w:rsidRPr="00957103">
        <w:rPr>
          <w:rFonts w:asciiTheme="majorHAnsi" w:hAnsiTheme="majorHAnsi" w:cstheme="majorHAnsi"/>
          <w:bCs/>
          <w:color w:val="000000"/>
          <w:sz w:val="20"/>
          <w:szCs w:val="20"/>
        </w:rPr>
        <w:t>développement continu du Groupe notamment en Amérique Latine et en Chine</w:t>
      </w:r>
      <w:r w:rsidRPr="002F10C9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et le besoin en fonds de roulement</w:t>
      </w:r>
      <w:r w:rsidR="00645C5B">
        <w:rPr>
          <w:rFonts w:asciiTheme="majorHAnsi" w:hAnsiTheme="majorHAnsi" w:cstheme="majorHAnsi"/>
          <w:bCs/>
          <w:color w:val="000000"/>
          <w:sz w:val="20"/>
          <w:szCs w:val="20"/>
        </w:rPr>
        <w:t>. Il</w:t>
      </w:r>
      <w:r w:rsidR="006703BC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permet </w:t>
      </w:r>
      <w:r w:rsidR="00C84C39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d’assurer </w:t>
      </w:r>
      <w:r w:rsidR="006703BC">
        <w:rPr>
          <w:rFonts w:asciiTheme="majorHAnsi" w:hAnsiTheme="majorHAnsi" w:cstheme="majorHAnsi"/>
          <w:bCs/>
          <w:color w:val="000000"/>
          <w:sz w:val="20"/>
          <w:szCs w:val="20"/>
        </w:rPr>
        <w:t>l’exécution du</w:t>
      </w:r>
      <w:r w:rsidR="006703BC" w:rsidRPr="006703BC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plan de redressement par voie de continuation</w:t>
      </w:r>
      <w:r w:rsidR="00C84C39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arrêté le 2 août 2019</w:t>
      </w:r>
      <w:r w:rsidR="00645C5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par le Tribunal de Commerce de Mont-de-Marsan</w:t>
      </w:r>
      <w:r w:rsidR="006703BC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4CF572FC" w14:textId="77777777" w:rsidR="00805ADA" w:rsidRDefault="00805ADA" w:rsidP="00DF179A">
      <w:pPr>
        <w:spacing w:after="0"/>
        <w:ind w:right="-85"/>
        <w:jc w:val="both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3C7694C4" w14:textId="27CCC16D" w:rsidR="00403F8B" w:rsidRDefault="00403F8B" w:rsidP="00DF179A">
      <w:pPr>
        <w:spacing w:after="0"/>
        <w:ind w:right="-85"/>
        <w:jc w:val="both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403F8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Les caractéristiques des OCABSA et </w:t>
      </w:r>
      <w:r w:rsidRPr="004B1421">
        <w:rPr>
          <w:rFonts w:asciiTheme="majorHAnsi" w:hAnsiTheme="majorHAnsi" w:cstheme="majorHAnsi"/>
          <w:bCs/>
          <w:color w:val="000000"/>
          <w:sz w:val="20"/>
          <w:szCs w:val="20"/>
        </w:rPr>
        <w:t>l’impact</w:t>
      </w:r>
      <w:r w:rsidRPr="00403F8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dilutif de l’opération sont détaillés dans le communiqué de pres</w:t>
      </w:r>
      <w:r w:rsidR="003474EC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se du </w:t>
      </w:r>
      <w:hyperlink r:id="rId9" w:history="1">
        <w:r w:rsidR="003474EC" w:rsidRPr="00192025">
          <w:rPr>
            <w:rStyle w:val="Lienhypertexte"/>
            <w:rFonts w:asciiTheme="majorHAnsi" w:hAnsiTheme="majorHAnsi" w:cstheme="majorHAnsi"/>
            <w:bCs/>
            <w:sz w:val="20"/>
            <w:szCs w:val="20"/>
          </w:rPr>
          <w:t>6 septembre 2019</w:t>
        </w:r>
      </w:hyperlink>
      <w:r w:rsidR="003474EC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  <w:r w:rsidR="00083B98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4C5D83">
        <w:rPr>
          <w:rFonts w:asciiTheme="majorHAnsi" w:hAnsiTheme="majorHAnsi" w:cstheme="majorHAnsi"/>
          <w:bCs/>
          <w:color w:val="000000"/>
          <w:sz w:val="20"/>
          <w:szCs w:val="20"/>
        </w:rPr>
        <w:t>La Société</w:t>
      </w:r>
      <w:r w:rsidR="004C5D83" w:rsidRPr="004C5D8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4C5D83">
        <w:rPr>
          <w:rFonts w:asciiTheme="majorHAnsi" w:hAnsiTheme="majorHAnsi" w:cstheme="majorHAnsi"/>
          <w:bCs/>
          <w:color w:val="000000"/>
          <w:sz w:val="20"/>
          <w:szCs w:val="20"/>
        </w:rPr>
        <w:t>et</w:t>
      </w:r>
      <w:r w:rsidR="004C5D83" w:rsidRPr="004C5D8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661DE7" w:rsidRPr="00661DE7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EHGOSF </w:t>
      </w:r>
      <w:r w:rsidR="004C5D83" w:rsidRPr="004C5D8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ont </w:t>
      </w:r>
      <w:r w:rsidR="00A1479C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ensuite </w:t>
      </w:r>
      <w:r w:rsidR="004C5D83" w:rsidRPr="004C5D83">
        <w:rPr>
          <w:rFonts w:asciiTheme="majorHAnsi" w:hAnsiTheme="majorHAnsi" w:cstheme="majorHAnsi"/>
          <w:bCs/>
          <w:color w:val="000000"/>
          <w:sz w:val="20"/>
          <w:szCs w:val="20"/>
        </w:rPr>
        <w:t>adapté certaines conditions du financement</w:t>
      </w:r>
      <w:r w:rsidR="00325EE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3F57AC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(voir </w:t>
      </w:r>
      <w:r w:rsidR="00325EE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communiqué du </w:t>
      </w:r>
      <w:hyperlink r:id="rId10" w:history="1">
        <w:r w:rsidR="003F57AC" w:rsidRPr="00A1479C">
          <w:rPr>
            <w:rStyle w:val="Lienhypertexte"/>
            <w:rFonts w:asciiTheme="majorHAnsi" w:hAnsiTheme="majorHAnsi" w:cstheme="majorHAnsi"/>
            <w:bCs/>
            <w:sz w:val="20"/>
            <w:szCs w:val="20"/>
          </w:rPr>
          <w:t>28 février 2020</w:t>
        </w:r>
      </w:hyperlink>
      <w:r w:rsidR="003F57AC">
        <w:rPr>
          <w:rStyle w:val="Lienhypertexte"/>
          <w:rFonts w:asciiTheme="majorHAnsi" w:hAnsiTheme="majorHAnsi" w:cstheme="majorHAnsi"/>
          <w:bCs/>
          <w:sz w:val="20"/>
          <w:szCs w:val="20"/>
        </w:rPr>
        <w:t>)</w:t>
      </w:r>
      <w:r w:rsidR="003E1780">
        <w:rPr>
          <w:rStyle w:val="Lienhypertexte"/>
          <w:rFonts w:asciiTheme="majorHAnsi" w:hAnsiTheme="majorHAnsi" w:cstheme="majorHAnsi"/>
          <w:bCs/>
          <w:sz w:val="20"/>
          <w:szCs w:val="20"/>
        </w:rPr>
        <w:t>.</w:t>
      </w:r>
      <w:r w:rsidR="004C5D83" w:rsidRPr="004C5D8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Pr="00403F8B">
        <w:rPr>
          <w:rFonts w:asciiTheme="majorHAnsi" w:hAnsiTheme="majorHAnsi" w:cstheme="majorHAnsi"/>
          <w:bCs/>
          <w:color w:val="000000"/>
          <w:sz w:val="20"/>
          <w:szCs w:val="20"/>
        </w:rPr>
        <w:t>La présente émission ne donne pas lieu à un prospectus soumis au visa de l’AMF.</w:t>
      </w:r>
    </w:p>
    <w:p w14:paraId="219984D6" w14:textId="4ED63ECD" w:rsidR="00C3585A" w:rsidRPr="00403F8B" w:rsidRDefault="00C3585A" w:rsidP="00DF179A">
      <w:pPr>
        <w:spacing w:after="0"/>
        <w:ind w:right="-85"/>
        <w:jc w:val="both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0675C11F" w14:textId="0A9032F5" w:rsidR="00B36BB0" w:rsidRDefault="00B36BB0" w:rsidP="00DF179A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Rappel du cadre juridique de l’émission</w:t>
      </w:r>
    </w:p>
    <w:p w14:paraId="7790D6DF" w14:textId="285436DC" w:rsidR="00B36BB0" w:rsidRPr="00645C5B" w:rsidRDefault="005F039B" w:rsidP="00645C5B">
      <w:pPr>
        <w:spacing w:after="0"/>
        <w:ind w:right="-85"/>
        <w:jc w:val="both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5F039B">
        <w:rPr>
          <w:rFonts w:asciiTheme="majorHAnsi" w:hAnsiTheme="majorHAnsi" w:cstheme="majorHAnsi"/>
          <w:bCs/>
          <w:color w:val="000000"/>
          <w:sz w:val="20"/>
          <w:szCs w:val="20"/>
        </w:rPr>
        <w:t>La Société rappe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>l</w:t>
      </w:r>
      <w:r w:rsidRPr="005F039B">
        <w:rPr>
          <w:rFonts w:asciiTheme="majorHAnsi" w:hAnsiTheme="majorHAnsi" w:cstheme="majorHAnsi"/>
          <w:bCs/>
          <w:color w:val="000000"/>
          <w:sz w:val="20"/>
          <w:szCs w:val="20"/>
        </w:rPr>
        <w:t>l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>e</w:t>
      </w:r>
      <w:r w:rsidRPr="005F039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que ce programme de financement a fait l’objet d’une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décision de l</w:t>
      </w:r>
      <w:r w:rsidRPr="00F55B9F">
        <w:rPr>
          <w:rFonts w:asciiTheme="majorHAnsi" w:hAnsiTheme="majorHAnsi" w:cstheme="majorHAnsi"/>
          <w:bCs/>
          <w:color w:val="000000"/>
          <w:sz w:val="20"/>
          <w:szCs w:val="20"/>
        </w:rPr>
        <w:t>’a</w:t>
      </w:r>
      <w:r w:rsidRPr="00645C5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ssemblée générale </w:t>
      </w:r>
      <w:r w:rsidR="0096091A" w:rsidRPr="00F55B9F">
        <w:rPr>
          <w:rFonts w:asciiTheme="majorHAnsi" w:hAnsiTheme="majorHAnsi" w:cstheme="majorHAnsi"/>
          <w:bCs/>
          <w:color w:val="000000"/>
          <w:sz w:val="20"/>
          <w:szCs w:val="20"/>
        </w:rPr>
        <w:t>extraordinaire</w:t>
      </w:r>
      <w:r w:rsidRPr="00645C5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du 3 sept</w:t>
      </w:r>
      <w:r w:rsidRPr="00F55B9F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embre 2019 ayant, 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>dans sa dixième résolution,</w:t>
      </w:r>
      <w:r w:rsidRPr="00F55B9F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délégué au Conseil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Pr="00645C5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d’administration d’Europlasma 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>S.A</w:t>
      </w:r>
      <w:r w:rsidR="005F2C78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  <w:r w:rsidR="006B1CD8">
        <w:rPr>
          <w:rFonts w:asciiTheme="majorHAnsi" w:hAnsiTheme="majorHAnsi" w:cstheme="majorHAnsi"/>
          <w:bCs/>
          <w:color w:val="000000"/>
          <w:sz w:val="20"/>
          <w:szCs w:val="20"/>
        </w:rPr>
        <w:t>,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Pr="00645C5B">
        <w:rPr>
          <w:rFonts w:asciiTheme="majorHAnsi" w:hAnsiTheme="majorHAnsi" w:cstheme="majorHAnsi"/>
          <w:bCs/>
          <w:color w:val="000000"/>
          <w:sz w:val="20"/>
          <w:szCs w:val="20"/>
        </w:rPr>
        <w:t>tous pouvoirs à l’effet de proc</w:t>
      </w:r>
      <w:r w:rsidRPr="00F55B9F">
        <w:rPr>
          <w:rFonts w:asciiTheme="majorHAnsi" w:hAnsiTheme="majorHAnsi" w:cstheme="majorHAnsi"/>
          <w:bCs/>
          <w:color w:val="000000"/>
          <w:sz w:val="20"/>
          <w:szCs w:val="20"/>
        </w:rPr>
        <w:t>éder à l'émission de 3.000 bons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Pr="00645C5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d'émissions </w:t>
      </w:r>
      <w:r w:rsidR="00A1479C">
        <w:rPr>
          <w:rFonts w:asciiTheme="majorHAnsi" w:hAnsiTheme="majorHAnsi" w:cstheme="majorHAnsi"/>
          <w:bCs/>
          <w:color w:val="000000"/>
          <w:sz w:val="20"/>
          <w:szCs w:val="20"/>
        </w:rPr>
        <w:t>d’OCABSA</w:t>
      </w:r>
      <w:r w:rsidR="004F3DCD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, avec suppression du droit préférentiel de souscription des actionnaires, au profit </w:t>
      </w:r>
      <w:r w:rsidR="00A1479C">
        <w:rPr>
          <w:rFonts w:asciiTheme="majorHAnsi" w:hAnsiTheme="majorHAnsi" w:cstheme="majorHAnsi"/>
          <w:bCs/>
          <w:color w:val="000000"/>
          <w:sz w:val="20"/>
          <w:szCs w:val="20"/>
        </w:rPr>
        <w:t>de</w:t>
      </w:r>
      <w:r w:rsidRPr="00645C5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A1479C" w:rsidRPr="00A1479C">
        <w:rPr>
          <w:rFonts w:asciiTheme="majorHAnsi" w:hAnsiTheme="majorHAnsi" w:cstheme="majorHAnsi"/>
          <w:bCs/>
          <w:color w:val="000000"/>
          <w:sz w:val="20"/>
          <w:szCs w:val="20"/>
        </w:rPr>
        <w:t>EHGOSF</w:t>
      </w:r>
      <w:r w:rsidRPr="00F55B9F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Pr="00F55B9F">
        <w:rPr>
          <w:rFonts w:asciiTheme="majorHAnsi" w:hAnsiTheme="majorHAnsi" w:cstheme="majorHAnsi"/>
          <w:bCs/>
          <w:color w:val="000000"/>
          <w:sz w:val="20"/>
          <w:szCs w:val="20"/>
        </w:rPr>
        <w:t>L</w:t>
      </w:r>
      <w:r w:rsidRPr="00645C5B">
        <w:rPr>
          <w:rFonts w:asciiTheme="majorHAnsi" w:hAnsiTheme="majorHAnsi" w:cstheme="majorHAnsi"/>
          <w:bCs/>
          <w:color w:val="000000"/>
          <w:sz w:val="20"/>
          <w:szCs w:val="20"/>
        </w:rPr>
        <w:t>e Conseil d’administration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>,</w:t>
      </w:r>
      <w:r w:rsidRPr="00645C5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usant des pouvoirs </w:t>
      </w:r>
      <w:r w:rsidRPr="00F55B9F">
        <w:rPr>
          <w:rFonts w:asciiTheme="majorHAnsi" w:hAnsiTheme="majorHAnsi" w:cstheme="majorHAnsi"/>
          <w:bCs/>
          <w:color w:val="000000"/>
          <w:sz w:val="20"/>
          <w:szCs w:val="20"/>
        </w:rPr>
        <w:t>qui lui ont été conférés par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A1479C" w:rsidRPr="00F55B9F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ladite </w:t>
      </w:r>
      <w:r w:rsidRPr="00F55B9F">
        <w:rPr>
          <w:rFonts w:asciiTheme="majorHAnsi" w:hAnsiTheme="majorHAnsi" w:cstheme="majorHAnsi"/>
          <w:bCs/>
          <w:color w:val="000000"/>
          <w:sz w:val="20"/>
          <w:szCs w:val="20"/>
        </w:rPr>
        <w:t>a</w:t>
      </w:r>
      <w:r w:rsidRPr="00645C5B">
        <w:rPr>
          <w:rFonts w:asciiTheme="majorHAnsi" w:hAnsiTheme="majorHAnsi" w:cstheme="majorHAnsi"/>
          <w:bCs/>
          <w:color w:val="000000"/>
          <w:sz w:val="20"/>
          <w:szCs w:val="20"/>
        </w:rPr>
        <w:t>ssemblée, a pro</w:t>
      </w:r>
      <w:r w:rsidRPr="00F55B9F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cédé 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le même jour </w:t>
      </w:r>
      <w:r w:rsidR="00A1479C" w:rsidRPr="00F55B9F">
        <w:rPr>
          <w:rFonts w:asciiTheme="majorHAnsi" w:hAnsiTheme="majorHAnsi" w:cstheme="majorHAnsi"/>
          <w:bCs/>
          <w:color w:val="000000"/>
          <w:sz w:val="20"/>
          <w:szCs w:val="20"/>
        </w:rPr>
        <w:t>à l'émission de 3.000 b</w:t>
      </w:r>
      <w:r w:rsidRPr="00F55B9F">
        <w:rPr>
          <w:rFonts w:asciiTheme="majorHAnsi" w:hAnsiTheme="majorHAnsi" w:cstheme="majorHAnsi"/>
          <w:bCs/>
          <w:color w:val="000000"/>
          <w:sz w:val="20"/>
          <w:szCs w:val="20"/>
        </w:rPr>
        <w:t>ons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A1479C" w:rsidRPr="00F55B9F">
        <w:rPr>
          <w:rFonts w:asciiTheme="majorHAnsi" w:hAnsiTheme="majorHAnsi" w:cstheme="majorHAnsi"/>
          <w:bCs/>
          <w:color w:val="000000"/>
          <w:sz w:val="20"/>
          <w:szCs w:val="20"/>
        </w:rPr>
        <w:t>d'é</w:t>
      </w:r>
      <w:r w:rsidRPr="00645C5B">
        <w:rPr>
          <w:rFonts w:asciiTheme="majorHAnsi" w:hAnsiTheme="majorHAnsi" w:cstheme="majorHAnsi"/>
          <w:bCs/>
          <w:color w:val="000000"/>
          <w:sz w:val="20"/>
          <w:szCs w:val="20"/>
        </w:rPr>
        <w:t>mission</w:t>
      </w:r>
      <w:r w:rsidR="00A1479C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d’OCABSA</w:t>
      </w:r>
      <w:r w:rsidRPr="00645C5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réservés 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>à</w:t>
      </w:r>
      <w:r w:rsidRPr="00645C5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A1479C" w:rsidRPr="00A1479C">
        <w:rPr>
          <w:rFonts w:asciiTheme="majorHAnsi" w:hAnsiTheme="majorHAnsi" w:cstheme="majorHAnsi"/>
          <w:bCs/>
          <w:color w:val="000000"/>
          <w:sz w:val="20"/>
          <w:szCs w:val="20"/>
        </w:rPr>
        <w:t>EHGOSF</w:t>
      </w:r>
      <w:r w:rsidRPr="00645C5B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  <w:r w:rsidR="00A1479C" w:rsidRPr="00A1479C">
        <w:t xml:space="preserve"> </w:t>
      </w:r>
      <w:r w:rsidR="00A1479C" w:rsidRPr="00A1479C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La Société attire l’attention du public sur le fait que la conversion ou l’exercice des titres émis dans le cadre de ce programme peut intervenir à tout moment à la demande du porteur et que les actions qui en sont issues sont librement cessibles sur le marché Euronext </w:t>
      </w:r>
      <w:proofErr w:type="spellStart"/>
      <w:r w:rsidR="00A1479C" w:rsidRPr="00A1479C">
        <w:rPr>
          <w:rFonts w:asciiTheme="majorHAnsi" w:hAnsiTheme="majorHAnsi" w:cstheme="majorHAnsi"/>
          <w:bCs/>
          <w:color w:val="000000"/>
          <w:sz w:val="20"/>
          <w:szCs w:val="20"/>
        </w:rPr>
        <w:t>Growth</w:t>
      </w:r>
      <w:proofErr w:type="spellEnd"/>
      <w:r w:rsidR="00A1479C" w:rsidRPr="00A1479C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(Paris), dans le respect des dispositions légales et réglementaires applicables</w:t>
      </w:r>
      <w:r w:rsidR="003D7E98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6E7E7489" w14:textId="50AE5589" w:rsidR="00B36BB0" w:rsidRDefault="00B36BB0" w:rsidP="00DF179A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4B145797" w14:textId="77777777" w:rsidR="003E1780" w:rsidRDefault="003E1780" w:rsidP="00DF179A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2FAF93BA" w14:textId="77777777" w:rsidR="00645C5B" w:rsidRDefault="00645C5B" w:rsidP="00645C5B">
      <w:pPr>
        <w:spacing w:after="0"/>
        <w:ind w:right="-85"/>
        <w:jc w:val="both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403F8B">
        <w:rPr>
          <w:rFonts w:asciiTheme="majorHAnsi" w:hAnsiTheme="majorHAnsi" w:cstheme="majorHAnsi"/>
          <w:bCs/>
          <w:color w:val="000000"/>
          <w:sz w:val="20"/>
          <w:szCs w:val="20"/>
        </w:rPr>
        <w:t>Un tableau de suivi de la conversion des OCABSA est consultable sur le site Internet d’Europlasma dans la section « </w:t>
      </w:r>
      <w:hyperlink r:id="rId11" w:history="1">
        <w:r w:rsidRPr="00403F8B">
          <w:rPr>
            <w:rStyle w:val="Lienhypertexte"/>
            <w:rFonts w:asciiTheme="majorHAnsi" w:hAnsiTheme="majorHAnsi" w:cstheme="majorHAnsi"/>
            <w:bCs/>
            <w:color w:val="000000"/>
            <w:sz w:val="20"/>
            <w:szCs w:val="20"/>
          </w:rPr>
          <w:t xml:space="preserve">Investisseurs et Actionnaires / information </w:t>
        </w:r>
        <w:bookmarkStart w:id="0" w:name="_GoBack"/>
        <w:bookmarkEnd w:id="0"/>
        <w:r w:rsidRPr="00403F8B">
          <w:rPr>
            <w:rStyle w:val="Lienhypertexte"/>
            <w:rFonts w:asciiTheme="majorHAnsi" w:hAnsiTheme="majorHAnsi" w:cstheme="majorHAnsi"/>
            <w:bCs/>
            <w:color w:val="000000"/>
            <w:sz w:val="20"/>
            <w:szCs w:val="20"/>
          </w:rPr>
          <w:t>réglementée </w:t>
        </w:r>
      </w:hyperlink>
      <w:r w:rsidRPr="00403F8B">
        <w:rPr>
          <w:rFonts w:asciiTheme="majorHAnsi" w:hAnsiTheme="majorHAnsi" w:cstheme="majorHAnsi"/>
          <w:bCs/>
          <w:color w:val="000000"/>
          <w:sz w:val="20"/>
          <w:szCs w:val="20"/>
        </w:rPr>
        <w:t>», onglet « information sur le capital ».</w:t>
      </w:r>
    </w:p>
    <w:p w14:paraId="105F3637" w14:textId="77777777" w:rsidR="00645C5B" w:rsidRDefault="00645C5B" w:rsidP="00DF179A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2C35F58D" w14:textId="77777777" w:rsidR="00403F8B" w:rsidRPr="00403F8B" w:rsidRDefault="00403F8B" w:rsidP="00DF179A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403F8B">
        <w:rPr>
          <w:rFonts w:asciiTheme="majorHAnsi" w:hAnsiTheme="majorHAnsi" w:cstheme="majorHAnsi"/>
          <w:b/>
          <w:sz w:val="20"/>
          <w:szCs w:val="20"/>
        </w:rPr>
        <w:t>Principaux risques associés à Europlasma</w:t>
      </w:r>
    </w:p>
    <w:p w14:paraId="2D19ED9A" w14:textId="77777777" w:rsidR="00403F8B" w:rsidRPr="00403F8B" w:rsidRDefault="00403F8B" w:rsidP="00DF179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403F8B">
        <w:rPr>
          <w:rFonts w:asciiTheme="majorHAnsi" w:hAnsiTheme="majorHAnsi" w:cstheme="majorHAnsi"/>
          <w:sz w:val="20"/>
          <w:szCs w:val="20"/>
        </w:rPr>
        <w:t xml:space="preserve">Les facteurs de risques propres à la Société et à son groupe, ainsi qu’à ses activités sont décrits au chapitre 2 du Rapport de gestion pour l’exercice clos le 31 décembre 2019 disponible sur le site </w:t>
      </w:r>
      <w:hyperlink r:id="rId12" w:history="1">
        <w:r w:rsidRPr="00403F8B">
          <w:rPr>
            <w:rStyle w:val="Lienhypertexte"/>
            <w:rFonts w:asciiTheme="majorHAnsi" w:hAnsiTheme="majorHAnsi" w:cstheme="majorHAnsi"/>
            <w:sz w:val="20"/>
            <w:szCs w:val="20"/>
          </w:rPr>
          <w:t>www.europlasma.com</w:t>
        </w:r>
      </w:hyperlink>
      <w:r w:rsidRPr="00403F8B">
        <w:rPr>
          <w:rFonts w:asciiTheme="majorHAnsi" w:hAnsiTheme="majorHAnsi" w:cstheme="majorHAnsi"/>
          <w:sz w:val="20"/>
          <w:szCs w:val="20"/>
        </w:rPr>
        <w:t xml:space="preserve"> dans la rubrique </w:t>
      </w:r>
      <w:hyperlink r:id="rId13" w:history="1">
        <w:r w:rsidRPr="00403F8B">
          <w:rPr>
            <w:rStyle w:val="Lienhypertexte"/>
            <w:rFonts w:asciiTheme="majorHAnsi" w:hAnsiTheme="majorHAnsi" w:cstheme="majorHAnsi"/>
            <w:sz w:val="20"/>
            <w:szCs w:val="20"/>
          </w:rPr>
          <w:t>« information règlementée »</w:t>
        </w:r>
      </w:hyperlink>
      <w:r w:rsidRPr="00403F8B">
        <w:rPr>
          <w:rFonts w:asciiTheme="majorHAnsi" w:hAnsiTheme="majorHAnsi" w:cstheme="majorHAnsi"/>
          <w:sz w:val="20"/>
          <w:szCs w:val="20"/>
        </w:rPr>
        <w:t>.</w:t>
      </w:r>
    </w:p>
    <w:p w14:paraId="069F57AC" w14:textId="2614E274" w:rsidR="005B44DD" w:rsidRDefault="005B44DD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29F30E71" w14:textId="77777777" w:rsidR="004B1421" w:rsidRDefault="004B1421">
      <w:pPr>
        <w:spacing w:after="0" w:line="240" w:lineRule="auto"/>
        <w:rPr>
          <w:b/>
          <w:sz w:val="20"/>
          <w:szCs w:val="20"/>
        </w:rPr>
      </w:pPr>
    </w:p>
    <w:p w14:paraId="6A82845C" w14:textId="77777777" w:rsidR="00F633AE" w:rsidRDefault="007C65D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À propos d’EUROPLASMA</w:t>
      </w:r>
    </w:p>
    <w:p w14:paraId="2C1CBA2E" w14:textId="77777777" w:rsidR="00F633AE" w:rsidRDefault="007C65D4">
      <w:pPr>
        <w:tabs>
          <w:tab w:val="left" w:pos="142"/>
        </w:tabs>
        <w:spacing w:line="240" w:lineRule="auto"/>
        <w:ind w:right="-3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Europlasma est un groupe français expert dans la dépollution, dont le savoir-faire depuis plus de 20 ans s’appuie sur sa technologie propriétaire, la torche à plasma, permettant d’obtenir de très hautes températures. Le métier d’Europlasma consiste à concevoir et développer les nombreuses applications de la torche à plasma, au service de l’homme et de son environnement. Ses solutions innovantes sont destinées au traitement et à la valorisation des déchets dangereux, la production d’énergie verte ainsi qu’à des applications pour les industries soucieuses de réduire leur empreinte environnementale. L’action EUROPLASMA est cotée sur Euronext GROWTH™, (FR0013514114-ALEUP / LEI 969500WYVNHBV1ABQ250). Pour plus d’informations : </w:t>
      </w:r>
      <w:hyperlink r:id="rId14">
        <w:r>
          <w:rPr>
            <w:color w:val="0000FF"/>
            <w:sz w:val="20"/>
            <w:szCs w:val="20"/>
            <w:u w:val="single"/>
          </w:rPr>
          <w:t>www.europlasma.com</w:t>
        </w:r>
      </w:hyperlink>
      <w:r>
        <w:rPr>
          <w:sz w:val="20"/>
          <w:szCs w:val="20"/>
        </w:rPr>
        <w:t>.</w:t>
      </w:r>
    </w:p>
    <w:p w14:paraId="015E370D" w14:textId="1672A64C" w:rsidR="00E52533" w:rsidRDefault="00E52533">
      <w:pPr>
        <w:spacing w:after="0" w:line="240" w:lineRule="auto"/>
        <w:rPr>
          <w:b/>
          <w:u w:val="single"/>
        </w:rPr>
      </w:pPr>
    </w:p>
    <w:p w14:paraId="7A1D8886" w14:textId="57444B01" w:rsidR="00F633AE" w:rsidRDefault="007C65D4">
      <w:pPr>
        <w:tabs>
          <w:tab w:val="left" w:pos="142"/>
        </w:tabs>
        <w:spacing w:after="0"/>
        <w:ind w:right="181"/>
        <w:jc w:val="both"/>
        <w:rPr>
          <w:sz w:val="20"/>
          <w:szCs w:val="20"/>
          <w:u w:val="single"/>
        </w:rPr>
      </w:pPr>
      <w:r>
        <w:rPr>
          <w:b/>
          <w:u w:val="single"/>
        </w:rPr>
        <w:t>Contacts :</w:t>
      </w:r>
    </w:p>
    <w:p w14:paraId="5A0B8666" w14:textId="77777777" w:rsidR="00F633AE" w:rsidRDefault="007C65D4">
      <w:pPr>
        <w:tabs>
          <w:tab w:val="left" w:pos="142"/>
          <w:tab w:val="left" w:pos="4536"/>
        </w:tabs>
        <w:spacing w:after="0"/>
        <w:ind w:right="6135"/>
        <w:jc w:val="both"/>
        <w:rPr>
          <w:b/>
          <w:color w:val="E36B09"/>
          <w:sz w:val="20"/>
          <w:szCs w:val="20"/>
        </w:rPr>
      </w:pPr>
      <w:r>
        <w:rPr>
          <w:b/>
          <w:color w:val="E36B09"/>
          <w:sz w:val="20"/>
          <w:szCs w:val="20"/>
        </w:rPr>
        <w:t>Europlasma</w:t>
      </w:r>
    </w:p>
    <w:p w14:paraId="072FCB81" w14:textId="77777777" w:rsidR="00F633AE" w:rsidRDefault="007C65D4">
      <w:pPr>
        <w:tabs>
          <w:tab w:val="left" w:pos="142"/>
          <w:tab w:val="left" w:pos="3544"/>
          <w:tab w:val="left" w:pos="6946"/>
          <w:tab w:val="left" w:pos="7797"/>
        </w:tabs>
        <w:spacing w:before="2" w:after="0"/>
        <w:ind w:right="159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Anne BORDERES </w:t>
      </w:r>
      <w:r>
        <w:rPr>
          <w:sz w:val="20"/>
          <w:szCs w:val="20"/>
        </w:rPr>
        <w:t>– Responsable Communication</w:t>
      </w:r>
    </w:p>
    <w:p w14:paraId="4F9EBC2D" w14:textId="77777777" w:rsidR="00F633AE" w:rsidRDefault="007C65D4">
      <w:pPr>
        <w:tabs>
          <w:tab w:val="left" w:pos="142"/>
        </w:tabs>
        <w:spacing w:before="2" w:after="0"/>
        <w:ind w:right="43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+ 33 (0) 556 497 000 – </w:t>
      </w:r>
      <w:hyperlink r:id="rId15">
        <w:r>
          <w:rPr>
            <w:color w:val="0000FF"/>
            <w:sz w:val="20"/>
            <w:szCs w:val="20"/>
            <w:u w:val="single"/>
          </w:rPr>
          <w:t>contactbourse@europlasma.com</w:t>
        </w:r>
      </w:hyperlink>
    </w:p>
    <w:p w14:paraId="17A5D98D" w14:textId="77777777" w:rsidR="00F633AE" w:rsidRDefault="00F633AE">
      <w:pPr>
        <w:tabs>
          <w:tab w:val="left" w:pos="142"/>
        </w:tabs>
        <w:spacing w:before="2" w:after="0"/>
        <w:ind w:right="4328"/>
        <w:jc w:val="both"/>
        <w:rPr>
          <w:sz w:val="20"/>
          <w:szCs w:val="20"/>
        </w:rPr>
      </w:pPr>
    </w:p>
    <w:p w14:paraId="5097A979" w14:textId="77777777" w:rsidR="00F633AE" w:rsidRDefault="007C65D4">
      <w:pPr>
        <w:tabs>
          <w:tab w:val="left" w:pos="142"/>
          <w:tab w:val="left" w:pos="4536"/>
        </w:tabs>
        <w:spacing w:after="0"/>
        <w:ind w:right="6134"/>
        <w:jc w:val="both"/>
        <w:rPr>
          <w:b/>
          <w:color w:val="E36B09"/>
          <w:sz w:val="20"/>
          <w:szCs w:val="20"/>
        </w:rPr>
      </w:pPr>
      <w:r>
        <w:rPr>
          <w:b/>
          <w:color w:val="E36B09"/>
          <w:sz w:val="20"/>
          <w:szCs w:val="20"/>
        </w:rPr>
        <w:t>ACTUS finance &amp; communication</w:t>
      </w:r>
    </w:p>
    <w:p w14:paraId="654D6A16" w14:textId="77777777" w:rsidR="00F633AE" w:rsidRDefault="007C65D4">
      <w:pPr>
        <w:tabs>
          <w:tab w:val="left" w:pos="142"/>
        </w:tabs>
        <w:spacing w:before="2" w:after="0"/>
        <w:ind w:right="4328"/>
        <w:jc w:val="both"/>
        <w:rPr>
          <w:color w:val="0000FF"/>
          <w:sz w:val="20"/>
          <w:szCs w:val="20"/>
          <w:u w:val="single"/>
        </w:rPr>
      </w:pPr>
      <w:r>
        <w:rPr>
          <w:b/>
          <w:sz w:val="20"/>
          <w:szCs w:val="20"/>
        </w:rPr>
        <w:t>Anne-Catherine BONJOUR</w:t>
      </w:r>
      <w:r>
        <w:rPr>
          <w:sz w:val="20"/>
          <w:szCs w:val="20"/>
        </w:rPr>
        <w:t xml:space="preserve"> – Relations Presse</w:t>
      </w:r>
    </w:p>
    <w:p w14:paraId="1E5B737E" w14:textId="0D3DA71B" w:rsidR="00F633AE" w:rsidRDefault="007C65D4">
      <w:pPr>
        <w:tabs>
          <w:tab w:val="left" w:pos="142"/>
        </w:tabs>
        <w:spacing w:before="2" w:after="0"/>
        <w:ind w:right="4328"/>
        <w:jc w:val="both"/>
        <w:rPr>
          <w:color w:val="0000FF"/>
          <w:sz w:val="12"/>
          <w:szCs w:val="12"/>
          <w:u w:val="single"/>
        </w:rPr>
      </w:pPr>
      <w:r>
        <w:rPr>
          <w:sz w:val="20"/>
          <w:szCs w:val="20"/>
        </w:rPr>
        <w:t xml:space="preserve">+ 33 (0) 153 673 693 – </w:t>
      </w:r>
      <w:hyperlink r:id="rId16">
        <w:r>
          <w:rPr>
            <w:color w:val="0000FF"/>
            <w:sz w:val="20"/>
            <w:szCs w:val="20"/>
            <w:u w:val="single"/>
          </w:rPr>
          <w:t>acbonjour@actus.fr</w:t>
        </w:r>
      </w:hyperlink>
    </w:p>
    <w:p w14:paraId="05659BC1" w14:textId="77777777" w:rsidR="005B44DD" w:rsidRDefault="005B44DD">
      <w:pPr>
        <w:tabs>
          <w:tab w:val="left" w:pos="142"/>
        </w:tabs>
        <w:spacing w:before="2" w:after="0"/>
        <w:ind w:right="4328"/>
        <w:jc w:val="both"/>
        <w:rPr>
          <w:b/>
          <w:sz w:val="20"/>
          <w:szCs w:val="20"/>
        </w:rPr>
      </w:pPr>
    </w:p>
    <w:p w14:paraId="356A58BB" w14:textId="77777777" w:rsidR="00F633AE" w:rsidRDefault="007C65D4">
      <w:pPr>
        <w:tabs>
          <w:tab w:val="left" w:pos="142"/>
        </w:tabs>
        <w:spacing w:before="2" w:after="0"/>
        <w:ind w:right="4328"/>
        <w:jc w:val="both"/>
        <w:rPr>
          <w:sz w:val="20"/>
          <w:szCs w:val="20"/>
        </w:rPr>
      </w:pPr>
      <w:r>
        <w:rPr>
          <w:b/>
          <w:sz w:val="20"/>
          <w:szCs w:val="20"/>
        </w:rPr>
        <w:t>Grégoire SAINT-MARC</w:t>
      </w:r>
      <w:r>
        <w:rPr>
          <w:sz w:val="20"/>
          <w:szCs w:val="20"/>
        </w:rPr>
        <w:t xml:space="preserve"> – Relations Investisseurs</w:t>
      </w:r>
    </w:p>
    <w:p w14:paraId="4BDABB00" w14:textId="77777777" w:rsidR="00F633AE" w:rsidRDefault="007C65D4">
      <w:pPr>
        <w:tabs>
          <w:tab w:val="left" w:pos="142"/>
        </w:tabs>
        <w:spacing w:before="2" w:after="0"/>
        <w:ind w:right="4328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 xml:space="preserve">+ 33 (0) 153 673 694 – </w:t>
      </w:r>
      <w:hyperlink r:id="rId17">
        <w:r>
          <w:rPr>
            <w:color w:val="0000FF"/>
            <w:sz w:val="20"/>
            <w:szCs w:val="20"/>
            <w:u w:val="single"/>
          </w:rPr>
          <w:t>europlasma@actus.fr</w:t>
        </w:r>
      </w:hyperlink>
    </w:p>
    <w:sectPr w:rsidR="00F633AE">
      <w:headerReference w:type="default" r:id="rId18"/>
      <w:footerReference w:type="default" r:id="rId19"/>
      <w:pgSz w:w="11905" w:h="16837"/>
      <w:pgMar w:top="1440" w:right="1132" w:bottom="1440" w:left="1077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266E8" w14:textId="77777777" w:rsidR="00D55051" w:rsidRDefault="007C65D4">
      <w:pPr>
        <w:spacing w:after="0" w:line="240" w:lineRule="auto"/>
      </w:pPr>
      <w:r>
        <w:separator/>
      </w:r>
    </w:p>
  </w:endnote>
  <w:endnote w:type="continuationSeparator" w:id="0">
    <w:p w14:paraId="13EBD62D" w14:textId="77777777" w:rsidR="00D55051" w:rsidRDefault="007C65D4">
      <w:pPr>
        <w:spacing w:after="0" w:line="240" w:lineRule="auto"/>
      </w:pPr>
      <w:r>
        <w:continuationSeparator/>
      </w:r>
    </w:p>
  </w:endnote>
  <w:endnote w:type="continuationNotice" w:id="1">
    <w:p w14:paraId="3DC4337E" w14:textId="77777777" w:rsidR="008407C6" w:rsidRDefault="008407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40CD0" w14:textId="079D708E" w:rsidR="00F633AE" w:rsidRDefault="007C65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773FF2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>/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773FF2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A0570" w14:textId="77777777" w:rsidR="00D55051" w:rsidRDefault="007C65D4">
      <w:pPr>
        <w:spacing w:after="0" w:line="240" w:lineRule="auto"/>
      </w:pPr>
      <w:r>
        <w:separator/>
      </w:r>
    </w:p>
  </w:footnote>
  <w:footnote w:type="continuationSeparator" w:id="0">
    <w:p w14:paraId="2686A72C" w14:textId="77777777" w:rsidR="00D55051" w:rsidRDefault="007C65D4">
      <w:pPr>
        <w:spacing w:after="0" w:line="240" w:lineRule="auto"/>
      </w:pPr>
      <w:r>
        <w:continuationSeparator/>
      </w:r>
    </w:p>
  </w:footnote>
  <w:footnote w:type="continuationNotice" w:id="1">
    <w:p w14:paraId="138B58E9" w14:textId="77777777" w:rsidR="008407C6" w:rsidRDefault="008407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7A882" w14:textId="77777777" w:rsidR="00F633AE" w:rsidRDefault="007C65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772FDF4" wp14:editId="6185355B">
          <wp:simplePos x="0" y="0"/>
          <wp:positionH relativeFrom="column">
            <wp:posOffset>0</wp:posOffset>
          </wp:positionH>
          <wp:positionV relativeFrom="paragraph">
            <wp:posOffset>389255</wp:posOffset>
          </wp:positionV>
          <wp:extent cx="2286000" cy="34798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347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C5BC4"/>
    <w:multiLevelType w:val="hybridMultilevel"/>
    <w:tmpl w:val="738094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7ACB"/>
    <w:multiLevelType w:val="hybridMultilevel"/>
    <w:tmpl w:val="3C10AB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56337"/>
    <w:multiLevelType w:val="multilevel"/>
    <w:tmpl w:val="ECBC6D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9E25708"/>
    <w:multiLevelType w:val="hybridMultilevel"/>
    <w:tmpl w:val="4A24CE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AE"/>
    <w:rsid w:val="00083B98"/>
    <w:rsid w:val="00096441"/>
    <w:rsid w:val="000B092C"/>
    <w:rsid w:val="000B2022"/>
    <w:rsid w:val="000D1D80"/>
    <w:rsid w:val="00150E09"/>
    <w:rsid w:val="00192025"/>
    <w:rsid w:val="001D7831"/>
    <w:rsid w:val="00202FE5"/>
    <w:rsid w:val="00204F91"/>
    <w:rsid w:val="00206DCC"/>
    <w:rsid w:val="00252B1B"/>
    <w:rsid w:val="002626E6"/>
    <w:rsid w:val="002A2CBF"/>
    <w:rsid w:val="002B260F"/>
    <w:rsid w:val="002D0FB4"/>
    <w:rsid w:val="002F10C9"/>
    <w:rsid w:val="00325EE1"/>
    <w:rsid w:val="003474EC"/>
    <w:rsid w:val="003D7E98"/>
    <w:rsid w:val="003E0D80"/>
    <w:rsid w:val="003E1780"/>
    <w:rsid w:val="003F57AC"/>
    <w:rsid w:val="00403F8B"/>
    <w:rsid w:val="00431C36"/>
    <w:rsid w:val="004434F3"/>
    <w:rsid w:val="004538FC"/>
    <w:rsid w:val="00465ACF"/>
    <w:rsid w:val="004B1421"/>
    <w:rsid w:val="004C5D83"/>
    <w:rsid w:val="004D34FD"/>
    <w:rsid w:val="004D62BA"/>
    <w:rsid w:val="004F3DCD"/>
    <w:rsid w:val="0051299D"/>
    <w:rsid w:val="005545BB"/>
    <w:rsid w:val="00592ACE"/>
    <w:rsid w:val="005B44DD"/>
    <w:rsid w:val="005E0833"/>
    <w:rsid w:val="005F039B"/>
    <w:rsid w:val="005F2C78"/>
    <w:rsid w:val="006146AD"/>
    <w:rsid w:val="0064429D"/>
    <w:rsid w:val="00645C5B"/>
    <w:rsid w:val="00661DE7"/>
    <w:rsid w:val="006645EB"/>
    <w:rsid w:val="006703BC"/>
    <w:rsid w:val="00692095"/>
    <w:rsid w:val="0069223D"/>
    <w:rsid w:val="006A27F5"/>
    <w:rsid w:val="006B1CD8"/>
    <w:rsid w:val="00735BBB"/>
    <w:rsid w:val="00773FF2"/>
    <w:rsid w:val="00780E3F"/>
    <w:rsid w:val="00795313"/>
    <w:rsid w:val="007B002C"/>
    <w:rsid w:val="007C65D4"/>
    <w:rsid w:val="00800DC4"/>
    <w:rsid w:val="00805ADA"/>
    <w:rsid w:val="008407C6"/>
    <w:rsid w:val="008713C5"/>
    <w:rsid w:val="008740F3"/>
    <w:rsid w:val="00880F0A"/>
    <w:rsid w:val="00894A32"/>
    <w:rsid w:val="008A09E3"/>
    <w:rsid w:val="0090228D"/>
    <w:rsid w:val="009103D5"/>
    <w:rsid w:val="00913BC3"/>
    <w:rsid w:val="00940AA1"/>
    <w:rsid w:val="00957103"/>
    <w:rsid w:val="0096091A"/>
    <w:rsid w:val="00A1479C"/>
    <w:rsid w:val="00A221B1"/>
    <w:rsid w:val="00A25AB7"/>
    <w:rsid w:val="00A417D5"/>
    <w:rsid w:val="00A96DE5"/>
    <w:rsid w:val="00AE28EB"/>
    <w:rsid w:val="00AF1407"/>
    <w:rsid w:val="00B36065"/>
    <w:rsid w:val="00B36BB0"/>
    <w:rsid w:val="00B468CE"/>
    <w:rsid w:val="00B61880"/>
    <w:rsid w:val="00B775B3"/>
    <w:rsid w:val="00B96EAA"/>
    <w:rsid w:val="00BE6E3D"/>
    <w:rsid w:val="00BF5571"/>
    <w:rsid w:val="00C0244E"/>
    <w:rsid w:val="00C3585A"/>
    <w:rsid w:val="00C453D3"/>
    <w:rsid w:val="00C6472C"/>
    <w:rsid w:val="00C84C39"/>
    <w:rsid w:val="00CD1950"/>
    <w:rsid w:val="00CF2919"/>
    <w:rsid w:val="00D10368"/>
    <w:rsid w:val="00D40A0D"/>
    <w:rsid w:val="00D55051"/>
    <w:rsid w:val="00DF179A"/>
    <w:rsid w:val="00E4137D"/>
    <w:rsid w:val="00E504C2"/>
    <w:rsid w:val="00E52533"/>
    <w:rsid w:val="00E6739C"/>
    <w:rsid w:val="00E843A1"/>
    <w:rsid w:val="00EA25E1"/>
    <w:rsid w:val="00EA595B"/>
    <w:rsid w:val="00EB7089"/>
    <w:rsid w:val="00EE3E2E"/>
    <w:rsid w:val="00EE6BD0"/>
    <w:rsid w:val="00EE7F14"/>
    <w:rsid w:val="00EF787F"/>
    <w:rsid w:val="00F070D1"/>
    <w:rsid w:val="00F55B9F"/>
    <w:rsid w:val="00F633AE"/>
    <w:rsid w:val="00F67FA5"/>
    <w:rsid w:val="00F827F1"/>
    <w:rsid w:val="00F95A55"/>
    <w:rsid w:val="00F975AC"/>
    <w:rsid w:val="00FC682A"/>
    <w:rsid w:val="00FE5B54"/>
    <w:rsid w:val="00FE7E5C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9F66"/>
  <w15:docId w15:val="{4B7BD5A5-3335-4F72-842D-823BDBB9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spacing w:before="480" w:after="0"/>
      <w:ind w:left="432" w:hanging="432"/>
      <w:outlineLvl w:val="0"/>
    </w:pPr>
    <w:rPr>
      <w:rFonts w:ascii="Cambria" w:eastAsia="Cambria" w:hAnsi="Cambria" w:cs="Cambria"/>
      <w:b/>
      <w:sz w:val="28"/>
      <w:szCs w:val="2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spacing w:before="200" w:after="0"/>
      <w:ind w:left="576" w:hanging="576"/>
      <w:outlineLvl w:val="1"/>
    </w:pPr>
    <w:rPr>
      <w:rFonts w:ascii="Cambria" w:eastAsia="Cambria" w:hAnsi="Cambria" w:cs="Cambria"/>
      <w:b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spacing w:before="200" w:after="0" w:line="264" w:lineRule="auto"/>
      <w:ind w:left="720" w:hanging="720"/>
      <w:outlineLvl w:val="2"/>
    </w:pPr>
    <w:rPr>
      <w:rFonts w:ascii="Cambria" w:eastAsia="Cambria" w:hAnsi="Cambria" w:cs="Cambria"/>
      <w:b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spacing w:before="200" w:after="0"/>
      <w:ind w:left="864" w:hanging="864"/>
      <w:outlineLvl w:val="3"/>
    </w:pPr>
    <w:rPr>
      <w:rFonts w:ascii="Cambria" w:eastAsia="Cambria" w:hAnsi="Cambria" w:cs="Cambria"/>
      <w:b/>
      <w:i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spacing w:before="200" w:after="0"/>
      <w:ind w:left="1008" w:hanging="1008"/>
      <w:outlineLvl w:val="4"/>
    </w:pPr>
    <w:rPr>
      <w:rFonts w:ascii="Cambria" w:eastAsia="Cambria" w:hAnsi="Cambria" w:cs="Cambria"/>
      <w:b/>
      <w:color w:val="7F7F7F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spacing w:after="0" w:line="264" w:lineRule="auto"/>
      <w:ind w:left="1152" w:hanging="1152"/>
      <w:outlineLvl w:val="5"/>
    </w:pPr>
    <w:rPr>
      <w:rFonts w:ascii="Cambria" w:eastAsia="Cambria" w:hAnsi="Cambria" w:cs="Cambria"/>
      <w:b/>
      <w:i/>
      <w:color w:val="7F7F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C682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re">
    <w:name w:val="Title"/>
    <w:basedOn w:val="Normal"/>
    <w:next w:val="Normal"/>
    <w:uiPriority w:val="10"/>
    <w:qFormat/>
    <w:pPr>
      <w:spacing w:line="240" w:lineRule="auto"/>
    </w:pPr>
    <w:rPr>
      <w:rFonts w:ascii="Cambria" w:eastAsia="Cambria" w:hAnsi="Cambria" w:cs="Cambria"/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spacing w:after="600"/>
    </w:pPr>
    <w:rPr>
      <w:rFonts w:ascii="Cambria" w:eastAsia="Cambria" w:hAnsi="Cambria" w:cs="Cambria"/>
      <w:i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83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D783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D783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783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783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783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7831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C6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5D4"/>
  </w:style>
  <w:style w:type="paragraph" w:styleId="Pieddepage">
    <w:name w:val="footer"/>
    <w:basedOn w:val="Normal"/>
    <w:link w:val="PieddepageCar"/>
    <w:uiPriority w:val="99"/>
    <w:unhideWhenUsed/>
    <w:rsid w:val="007C6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5D4"/>
  </w:style>
  <w:style w:type="table" w:customStyle="1" w:styleId="TableNormal1">
    <w:name w:val="Table Normal1"/>
    <w:rsid w:val="008407C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rsid w:val="00403F8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F03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uroplasma.com/investisseurs-et-actionnaires/information-reglementee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europlasma.com" TargetMode="External"/><Relationship Id="rId17" Type="http://schemas.openxmlformats.org/officeDocument/2006/relationships/hyperlink" Target="mailto:europlasma@actus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acbonjour@actus.f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roplasma.com/investisseurs-et-actionnaires/information-reglementee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ontactbourse@europlasma.com" TargetMode="External"/><Relationship Id="rId10" Type="http://schemas.openxmlformats.org/officeDocument/2006/relationships/hyperlink" Target="https://www.europlasma.com/wp-content/uploads/2017/08/CP_Europlasma_AGE_Waiver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uroplasma.com/wp-content/uploads/2017/08/Tirage-T1_BEOCABSA_06-09-2019.pdf" TargetMode="External"/><Relationship Id="rId14" Type="http://schemas.openxmlformats.org/officeDocument/2006/relationships/hyperlink" Target="http://www.europlasm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Links>
    <vt:vector size="42" baseType="variant">
      <vt:variant>
        <vt:i4>196654</vt:i4>
      </vt:variant>
      <vt:variant>
        <vt:i4>18</vt:i4>
      </vt:variant>
      <vt:variant>
        <vt:i4>0</vt:i4>
      </vt:variant>
      <vt:variant>
        <vt:i4>5</vt:i4>
      </vt:variant>
      <vt:variant>
        <vt:lpwstr>mailto:europlasma@actus.fr</vt:lpwstr>
      </vt:variant>
      <vt:variant>
        <vt:lpwstr/>
      </vt:variant>
      <vt:variant>
        <vt:i4>1179681</vt:i4>
      </vt:variant>
      <vt:variant>
        <vt:i4>15</vt:i4>
      </vt:variant>
      <vt:variant>
        <vt:i4>0</vt:i4>
      </vt:variant>
      <vt:variant>
        <vt:i4>5</vt:i4>
      </vt:variant>
      <vt:variant>
        <vt:lpwstr>mailto:acbonjour@actus.fr</vt:lpwstr>
      </vt:variant>
      <vt:variant>
        <vt:lpwstr/>
      </vt:variant>
      <vt:variant>
        <vt:i4>2621457</vt:i4>
      </vt:variant>
      <vt:variant>
        <vt:i4>12</vt:i4>
      </vt:variant>
      <vt:variant>
        <vt:i4>0</vt:i4>
      </vt:variant>
      <vt:variant>
        <vt:i4>5</vt:i4>
      </vt:variant>
      <vt:variant>
        <vt:lpwstr>mailto:contactbourse@europlasma.com</vt:lpwstr>
      </vt:variant>
      <vt:variant>
        <vt:lpwstr/>
      </vt:variant>
      <vt:variant>
        <vt:i4>3014714</vt:i4>
      </vt:variant>
      <vt:variant>
        <vt:i4>9</vt:i4>
      </vt:variant>
      <vt:variant>
        <vt:i4>0</vt:i4>
      </vt:variant>
      <vt:variant>
        <vt:i4>5</vt:i4>
      </vt:variant>
      <vt:variant>
        <vt:lpwstr>http://www.europlasma.com/</vt:lpwstr>
      </vt:variant>
      <vt:variant>
        <vt:lpwstr/>
      </vt:variant>
      <vt:variant>
        <vt:i4>4259865</vt:i4>
      </vt:variant>
      <vt:variant>
        <vt:i4>6</vt:i4>
      </vt:variant>
      <vt:variant>
        <vt:i4>0</vt:i4>
      </vt:variant>
      <vt:variant>
        <vt:i4>5</vt:i4>
      </vt:variant>
      <vt:variant>
        <vt:lpwstr>http://www.europlasma.com/investisseurs-et-actionnaires/information-reglementee/</vt:lpwstr>
      </vt:variant>
      <vt:variant>
        <vt:lpwstr/>
      </vt:variant>
      <vt:variant>
        <vt:i4>3014714</vt:i4>
      </vt:variant>
      <vt:variant>
        <vt:i4>3</vt:i4>
      </vt:variant>
      <vt:variant>
        <vt:i4>0</vt:i4>
      </vt:variant>
      <vt:variant>
        <vt:i4>5</vt:i4>
      </vt:variant>
      <vt:variant>
        <vt:lpwstr>http://www.europlasma.com/</vt:lpwstr>
      </vt:variant>
      <vt:variant>
        <vt:lpwstr/>
      </vt:variant>
      <vt:variant>
        <vt:i4>4259865</vt:i4>
      </vt:variant>
      <vt:variant>
        <vt:i4>0</vt:i4>
      </vt:variant>
      <vt:variant>
        <vt:i4>0</vt:i4>
      </vt:variant>
      <vt:variant>
        <vt:i4>5</vt:i4>
      </vt:variant>
      <vt:variant>
        <vt:lpwstr>http://www.europlasma.com/investisseurs-et-actionnaires/information-reglementee/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FABREGUETTES LEIB</dc:creator>
  <cp:keywords/>
  <cp:lastModifiedBy>Anne BORDERES</cp:lastModifiedBy>
  <cp:revision>5</cp:revision>
  <cp:lastPrinted>2020-11-03T13:13:00Z</cp:lastPrinted>
  <dcterms:created xsi:type="dcterms:W3CDTF">2020-11-02T14:03:00Z</dcterms:created>
  <dcterms:modified xsi:type="dcterms:W3CDTF">2020-11-03T13:14:00Z</dcterms:modified>
</cp:coreProperties>
</file>